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F5" w:rsidRPr="00D77FF5" w:rsidRDefault="00D77FF5" w:rsidP="00D77FF5">
      <w:pPr>
        <w:spacing w:before="200" w:line="240" w:lineRule="auto"/>
        <w:rPr>
          <w:rFonts w:ascii="Tahoma" w:eastAsia="Times New Roman" w:hAnsi="Tahoma" w:cs="Tahoma"/>
          <w:color w:val="000000"/>
          <w:sz w:val="17"/>
          <w:szCs w:val="17"/>
          <w:lang w:eastAsia="da-DK"/>
        </w:rPr>
      </w:pPr>
    </w:p>
    <w:p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r w:rsidRPr="00D77FF5">
        <w:rPr>
          <w:rFonts w:ascii="Tahoma" w:eastAsia="Times New Roman" w:hAnsi="Tahoma" w:cs="Tahoma"/>
          <w:b/>
          <w:bCs/>
          <w:color w:val="000000"/>
          <w:sz w:val="24"/>
          <w:szCs w:val="24"/>
          <w:lang w:eastAsia="da-DK"/>
        </w:rPr>
        <w:t xml:space="preserve">Bilag 1 </w:t>
      </w:r>
    </w:p>
    <w:p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22. Vil anlægget som følge af projektet have behov for belysning som i aften og nattetimer vil kunne oplyse naboarealer og omgivelserne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43. Undertegnede erklærer herved på tro og love rigtigheden af ovenstående oplysninger.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57871"/>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44721"/>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2C38"/>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CD90E-421E-4A3F-A016-424F8669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06D7-23FB-401A-A364-7E0A5A58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66585D3F</Template>
  <TotalTime>131</TotalTime>
  <Pages>1</Pages>
  <Words>1481</Words>
  <Characters>9041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Nanna Kloster Larsen</cp:lastModifiedBy>
  <cp:revision>2</cp:revision>
  <dcterms:created xsi:type="dcterms:W3CDTF">2020-02-06T15:29:00Z</dcterms:created>
  <dcterms:modified xsi:type="dcterms:W3CDTF">2020-02-06T15:29:00Z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{8BE2F8DC-52F1-4898-A24A-24F7DC2D32CB}</vt:lpwstr>
  </property>
</Properties>
</file>